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B40052">
      <w:pPr>
        <w:autoSpaceDE w:val="0"/>
        <w:autoSpaceDN w:val="0"/>
        <w:adjustRightInd w:val="0"/>
        <w:jc w:val="center"/>
        <w:rPr>
          <w:rFonts w:ascii="Times New Roman" w:eastAsia="方正小标宋简体" w:hAnsi="Times New Roman" w:cs="方正小标宋简体"/>
          <w:kern w:val="0"/>
          <w:sz w:val="48"/>
          <w:szCs w:val="48"/>
          <w:lang w:val="zh-CN"/>
        </w:rPr>
      </w:pPr>
    </w:p>
    <w:p w:rsidR="00B40052" w:rsidRDefault="002A2AA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天津渤海轻工投资集团有限公司</w:t>
      </w:r>
    </w:p>
    <w:p w:rsidR="00B40052" w:rsidRDefault="002A2AA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B40052" w:rsidRDefault="00B40052">
      <w:pPr>
        <w:autoSpaceDE w:val="0"/>
        <w:autoSpaceDN w:val="0"/>
        <w:adjustRightInd w:val="0"/>
        <w:spacing w:line="580" w:lineRule="exact"/>
        <w:jc w:val="center"/>
        <w:rPr>
          <w:rFonts w:ascii="Times New Roman" w:eastAsia="黑体" w:hAnsi="Times New Roman" w:cs="黑体"/>
          <w:sz w:val="30"/>
          <w:szCs w:val="30"/>
        </w:rPr>
      </w:pPr>
    </w:p>
    <w:p w:rsidR="00B40052" w:rsidRDefault="00B40052">
      <w:pPr>
        <w:autoSpaceDE w:val="0"/>
        <w:autoSpaceDN w:val="0"/>
        <w:adjustRightInd w:val="0"/>
        <w:spacing w:line="580" w:lineRule="exact"/>
        <w:jc w:val="center"/>
        <w:rPr>
          <w:rFonts w:ascii="Times New Roman" w:eastAsia="黑体" w:hAnsi="Times New Roman" w:cs="黑体"/>
          <w:sz w:val="30"/>
          <w:szCs w:val="30"/>
        </w:rPr>
      </w:pPr>
    </w:p>
    <w:p w:rsidR="00B40052" w:rsidRDefault="00B40052">
      <w:pPr>
        <w:autoSpaceDE w:val="0"/>
        <w:autoSpaceDN w:val="0"/>
        <w:adjustRightInd w:val="0"/>
        <w:spacing w:line="580" w:lineRule="exact"/>
        <w:jc w:val="center"/>
        <w:rPr>
          <w:rFonts w:ascii="Times New Roman" w:eastAsia="黑体" w:hAnsi="Times New Roman" w:cs="黑体"/>
          <w:sz w:val="30"/>
          <w:szCs w:val="30"/>
        </w:rPr>
      </w:pPr>
    </w:p>
    <w:p w:rsidR="00B40052" w:rsidRDefault="00B40052">
      <w:pPr>
        <w:autoSpaceDE w:val="0"/>
        <w:autoSpaceDN w:val="0"/>
        <w:adjustRightInd w:val="0"/>
        <w:spacing w:line="580" w:lineRule="exact"/>
        <w:jc w:val="center"/>
        <w:rPr>
          <w:rFonts w:ascii="Times New Roman" w:eastAsia="黑体" w:hAnsi="Times New Roman" w:cs="黑体"/>
          <w:sz w:val="30"/>
          <w:szCs w:val="30"/>
        </w:rPr>
      </w:pPr>
    </w:p>
    <w:p w:rsidR="00B40052" w:rsidRDefault="00B40052">
      <w:pPr>
        <w:autoSpaceDE w:val="0"/>
        <w:autoSpaceDN w:val="0"/>
        <w:adjustRightInd w:val="0"/>
        <w:spacing w:line="580" w:lineRule="exact"/>
        <w:jc w:val="center"/>
        <w:rPr>
          <w:rFonts w:ascii="Times New Roman" w:eastAsia="黑体" w:hAnsi="Times New Roman" w:cs="黑体"/>
          <w:sz w:val="30"/>
          <w:szCs w:val="30"/>
        </w:rPr>
      </w:pPr>
    </w:p>
    <w:p w:rsidR="00B40052" w:rsidRDefault="002A2AA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40052" w:rsidRDefault="002A2AA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B40052" w:rsidRDefault="00B40052">
      <w:pPr>
        <w:autoSpaceDE w:val="0"/>
        <w:autoSpaceDN w:val="0"/>
        <w:adjustRightInd w:val="0"/>
        <w:spacing w:line="600" w:lineRule="exact"/>
        <w:jc w:val="left"/>
        <w:rPr>
          <w:rFonts w:ascii="Times New Roman" w:eastAsia="黑体" w:hAnsi="Times New Roman" w:cs="黑体"/>
          <w:kern w:val="0"/>
          <w:sz w:val="30"/>
          <w:szCs w:val="30"/>
        </w:rPr>
      </w:pPr>
    </w:p>
    <w:p w:rsidR="00B40052" w:rsidRDefault="002A2AA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B40052" w:rsidRDefault="002A2AA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B40052" w:rsidRDefault="002A2AA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B40052" w:rsidRDefault="002A2AA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40052" w:rsidRDefault="002A2AA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B40052" w:rsidRDefault="002A2AAD">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40052" w:rsidRDefault="002A2AA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B40052" w:rsidRDefault="00B40052">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40052" w:rsidRDefault="002A2AA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40052" w:rsidRDefault="002A2AAD">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天津渤海轻工投资集团有限公司是天津市国资委代表市政府履行出资人职责并实施直接监管的企业集团。财政拨款主要用于集团</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所高等职业学院、</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所中等职业学校、</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个转制研究所的正常教学、工作的正常运行及集团本部行政离退休人员离退休费及抚血金发放。</w:t>
      </w:r>
    </w:p>
    <w:p w:rsidR="00B40052" w:rsidRDefault="002A2AA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40052" w:rsidRDefault="002A2AAD">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天津渤海轻工投资集团有限公司</w:t>
      </w:r>
      <w:r>
        <w:rPr>
          <w:rFonts w:ascii="Times New Roman" w:eastAsia="仿宋_GB2312" w:hAnsi="Times New Roman" w:cs="仿宋_GB2312" w:hint="eastAsia"/>
          <w:kern w:val="0"/>
          <w:sz w:val="30"/>
          <w:szCs w:val="30"/>
        </w:rPr>
        <w:t>内设</w:t>
      </w:r>
      <w:r>
        <w:rPr>
          <w:rFonts w:ascii="Times New Roman" w:eastAsia="仿宋_GB2312" w:hAnsi="Times New Roman" w:cs="仿宋_GB2312" w:hint="eastAsia"/>
          <w:kern w:val="0"/>
          <w:sz w:val="30"/>
          <w:szCs w:val="30"/>
        </w:rPr>
        <w:t>12</w:t>
      </w:r>
      <w:r>
        <w:rPr>
          <w:rFonts w:ascii="Times New Roman" w:eastAsia="仿宋_GB2312" w:hAnsi="Times New Roman" w:cs="仿宋_GB2312" w:hint="eastAsia"/>
          <w:kern w:val="0"/>
          <w:sz w:val="30"/>
          <w:szCs w:val="30"/>
        </w:rPr>
        <w:t>个</w:t>
      </w:r>
      <w:r>
        <w:rPr>
          <w:rFonts w:ascii="Times New Roman" w:eastAsia="仿宋_GB2312" w:hAnsi="Times New Roman" w:cs="仿宋_GB2312" w:hint="eastAsia"/>
          <w:kern w:val="0"/>
          <w:sz w:val="30"/>
          <w:szCs w:val="30"/>
        </w:rPr>
        <w:t>职能部室</w:t>
      </w:r>
      <w:r>
        <w:rPr>
          <w:rFonts w:ascii="Times New Roman" w:eastAsia="仿宋_GB2312" w:hAnsi="Times New Roman" w:cs="仿宋_GB2312" w:hint="eastAsia"/>
          <w:kern w:val="0"/>
          <w:sz w:val="30"/>
          <w:szCs w:val="30"/>
        </w:rPr>
        <w:t>；下辖</w:t>
      </w:r>
      <w:r>
        <w:rPr>
          <w:rFonts w:ascii="Times New Roman" w:eastAsia="仿宋_GB2312" w:hAnsi="Times New Roman" w:cs="仿宋_GB2312" w:hint="eastAsia"/>
          <w:kern w:val="0"/>
          <w:sz w:val="30"/>
          <w:szCs w:val="30"/>
        </w:rPr>
        <w:t>5</w:t>
      </w:r>
      <w:r>
        <w:rPr>
          <w:rFonts w:ascii="Times New Roman" w:eastAsia="仿宋_GB2312" w:hAnsi="Times New Roman" w:cs="仿宋_GB2312" w:hint="eastAsia"/>
          <w:kern w:val="0"/>
          <w:sz w:val="30"/>
          <w:szCs w:val="30"/>
        </w:rPr>
        <w:t>个预算单位。纳入</w:t>
      </w:r>
      <w:r>
        <w:rPr>
          <w:rFonts w:ascii="Times New Roman" w:eastAsia="仿宋_GB2312" w:hAnsi="Times New Roman" w:cs="仿宋_GB2312" w:hint="eastAsia"/>
          <w:kern w:val="0"/>
          <w:sz w:val="30"/>
          <w:szCs w:val="30"/>
        </w:rPr>
        <w:t>天津渤海轻工投资集团有限公司</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B40052" w:rsidRDefault="002A2AAD">
      <w:pPr>
        <w:keepNext/>
        <w:keepLines/>
        <w:autoSpaceDE w:val="0"/>
        <w:autoSpaceDN w:val="0"/>
        <w:adjustRightInd w:val="0"/>
        <w:spacing w:line="600" w:lineRule="exact"/>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天津渤海轻工投资集团有限公司（本级）</w:t>
      </w:r>
      <w:r>
        <w:rPr>
          <w:rFonts w:ascii="Times New Roman" w:eastAsia="仿宋_GB2312" w:hAnsi="Times New Roman" w:cs="仿宋_GB2312" w:hint="eastAsia"/>
          <w:kern w:val="0"/>
          <w:sz w:val="30"/>
          <w:szCs w:val="30"/>
        </w:rPr>
        <w:br/>
        <w:t>2.</w:t>
      </w:r>
      <w:r>
        <w:rPr>
          <w:rFonts w:ascii="Times New Roman" w:eastAsia="仿宋_GB2312" w:hAnsi="Times New Roman" w:cs="仿宋_GB2312" w:hint="eastAsia"/>
          <w:kern w:val="0"/>
          <w:sz w:val="30"/>
          <w:szCs w:val="30"/>
        </w:rPr>
        <w:t>事业单位：天津现代职业技术学院、天津轻工职业技术学院、天津市第一轻工业学校、转制院所：天津市轻工装备研究所、天津市轻工信息研究所。</w:t>
      </w:r>
    </w:p>
    <w:p w:rsidR="00B40052" w:rsidRDefault="002A2AAD">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40052" w:rsidRDefault="002A2AA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B40052" w:rsidRDefault="00B40052">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40052" w:rsidRDefault="002A2AA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40052" w:rsidRDefault="002A2AAD">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B40052" w:rsidRDefault="002A2AAD">
      <w:pPr>
        <w:keepNext/>
        <w:keepLines/>
        <w:autoSpaceDE w:val="0"/>
        <w:autoSpaceDN w:val="0"/>
        <w:adjustRightInd w:val="0"/>
        <w:spacing w:line="600" w:lineRule="exact"/>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天津渤海轻工投资集团有限公司</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t xml:space="preserve">2. </w:t>
      </w:r>
      <w:r>
        <w:rPr>
          <w:rFonts w:ascii="Times New Roman" w:eastAsia="仿宋_GB2312" w:hAnsi="Times New Roman" w:cs="仿宋_GB2312" w:hint="eastAsia"/>
          <w:kern w:val="0"/>
          <w:sz w:val="30"/>
          <w:szCs w:val="30"/>
        </w:rPr>
        <w:t>天津渤海轻工投资集团有限公司</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r>
        <w:rPr>
          <w:rFonts w:ascii="Times New Roman" w:eastAsia="仿宋_GB2312" w:hAnsi="Times New Roman" w:cs="仿宋_GB2312" w:hint="eastAsia"/>
          <w:kern w:val="0"/>
          <w:sz w:val="30"/>
          <w:szCs w:val="30"/>
        </w:rPr>
        <w:br/>
        <w:t xml:space="preserve">3. </w:t>
      </w:r>
      <w:r>
        <w:rPr>
          <w:rFonts w:ascii="Times New Roman" w:eastAsia="仿宋_GB2312" w:hAnsi="Times New Roman" w:cs="仿宋_GB2312" w:hint="eastAsia"/>
          <w:kern w:val="0"/>
          <w:sz w:val="30"/>
          <w:szCs w:val="30"/>
        </w:rPr>
        <w:t>天津渤海轻工投资集团有限公司</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年度财政拨款“三公”经费支出决算表为空表。</w:t>
      </w:r>
    </w:p>
    <w:p w:rsidR="00B40052" w:rsidRDefault="00B4005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B40052" w:rsidRDefault="002A2AAD">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B40052" w:rsidRDefault="00B40052">
      <w:pPr>
        <w:autoSpaceDE w:val="0"/>
        <w:autoSpaceDN w:val="0"/>
        <w:adjustRightInd w:val="0"/>
        <w:spacing w:line="580" w:lineRule="exact"/>
        <w:ind w:firstLine="600"/>
        <w:jc w:val="left"/>
        <w:rPr>
          <w:rFonts w:ascii="Times New Roman" w:eastAsia="黑体" w:hAnsi="Times New Roman" w:cs="黑体"/>
          <w:sz w:val="30"/>
          <w:szCs w:val="30"/>
          <w:lang w:val="zh-CN"/>
        </w:rPr>
      </w:pP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40052" w:rsidRDefault="002A2AAD">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天津渤海轻工投资集团有限公司</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712,801,865.17</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92,117,330.29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14.84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年度贷款项目收支及教师的横项课题收支增加、双高建设市级财政拨款项目收入增加。</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年度招生人数增加，学生资助体系资金增加、项目拨款金额增加、年初结余结转增加。</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天津渤海轻工投资集团有限公司</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671,804,626.42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58,936,480.35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年度贷款项目收支及教师的横项课题收支增加、双高</w:t>
      </w:r>
      <w:r>
        <w:rPr>
          <w:rFonts w:ascii="Times New Roman" w:eastAsia="仿宋_GB2312" w:hAnsi="Times New Roman" w:cs="仿宋_GB2312" w:hint="eastAsia"/>
          <w:kern w:val="0"/>
          <w:sz w:val="30"/>
          <w:szCs w:val="30"/>
        </w:rPr>
        <w:lastRenderedPageBreak/>
        <w:t>建设市级财政拨款项目收入增加。</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年度招生人数增加，学生资助体系资金增加、项目拨款金额增加、年初结余结转增加。</w:t>
      </w:r>
    </w:p>
    <w:p w:rsidR="00B40052" w:rsidRDefault="002A2AAD">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508,210,940.81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75.65</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B40052" w:rsidRDefault="002A2AA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118,360,000.00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17.62%</w:t>
      </w:r>
      <w:r>
        <w:rPr>
          <w:rFonts w:ascii="Times New Roman" w:eastAsia="仿宋_GB2312" w:hAnsi="Times New Roman" w:cs="仿宋_GB2312" w:hint="eastAsia"/>
          <w:sz w:val="30"/>
          <w:szCs w:val="30"/>
          <w:lang w:val="zh-CN"/>
        </w:rPr>
        <w:t>；</w:t>
      </w:r>
    </w:p>
    <w:p w:rsidR="00B40052" w:rsidRDefault="002A2AA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5,343,300.00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0.8%</w:t>
      </w:r>
      <w:r>
        <w:rPr>
          <w:rFonts w:ascii="Times New Roman" w:eastAsia="仿宋_GB2312" w:hAnsi="Times New Roman" w:cs="仿宋_GB2312" w:hint="eastAsia"/>
          <w:sz w:val="30"/>
          <w:szCs w:val="30"/>
          <w:lang w:val="zh-CN"/>
        </w:rPr>
        <w:t>；</w:t>
      </w:r>
    </w:p>
    <w:p w:rsidR="00B40052" w:rsidRDefault="002A2AA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39,890,385.61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5.9</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B40052" w:rsidRDefault="002A2AAD">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天津渤海轻工投资集团有限公司</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681,159,024.55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63,520,878.53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sidR="004728F7">
        <w:rPr>
          <w:rFonts w:ascii="Times New Roman" w:eastAsia="仿宋_GB2312" w:hAnsi="Times New Roman" w:cs="仿宋_GB2312" w:hint="eastAsia"/>
          <w:kern w:val="0"/>
          <w:sz w:val="30"/>
          <w:szCs w:val="30"/>
        </w:rPr>
        <w:t>年度贷款项目</w:t>
      </w:r>
      <w:r>
        <w:rPr>
          <w:rFonts w:ascii="Times New Roman" w:eastAsia="仿宋_GB2312" w:hAnsi="Times New Roman" w:cs="仿宋_GB2312" w:hint="eastAsia"/>
          <w:kern w:val="0"/>
          <w:sz w:val="30"/>
          <w:szCs w:val="30"/>
        </w:rPr>
        <w:t>支</w:t>
      </w:r>
      <w:r w:rsidR="004728F7">
        <w:rPr>
          <w:rFonts w:ascii="Times New Roman" w:eastAsia="仿宋_GB2312" w:hAnsi="Times New Roman" w:cs="仿宋_GB2312" w:hint="eastAsia"/>
          <w:kern w:val="0"/>
          <w:sz w:val="30"/>
          <w:szCs w:val="30"/>
        </w:rPr>
        <w:t>出及教师的横项课题</w:t>
      </w:r>
      <w:r>
        <w:rPr>
          <w:rFonts w:ascii="Times New Roman" w:eastAsia="仿宋_GB2312" w:hAnsi="Times New Roman" w:cs="仿宋_GB2312" w:hint="eastAsia"/>
          <w:kern w:val="0"/>
          <w:sz w:val="30"/>
          <w:szCs w:val="30"/>
        </w:rPr>
        <w:t>支</w:t>
      </w:r>
      <w:r w:rsidR="004728F7">
        <w:rPr>
          <w:rFonts w:ascii="Times New Roman" w:eastAsia="仿宋_GB2312" w:hAnsi="Times New Roman" w:cs="仿宋_GB2312" w:hint="eastAsia"/>
          <w:kern w:val="0"/>
          <w:sz w:val="30"/>
          <w:szCs w:val="30"/>
        </w:rPr>
        <w:t>出</w:t>
      </w:r>
      <w:r>
        <w:rPr>
          <w:rFonts w:ascii="Times New Roman" w:eastAsia="仿宋_GB2312" w:hAnsi="Times New Roman" w:cs="仿宋_GB2312" w:hint="eastAsia"/>
          <w:kern w:val="0"/>
          <w:sz w:val="30"/>
          <w:szCs w:val="30"/>
        </w:rPr>
        <w:t>增加、双高建设市级财政拨款项目支出增加。</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年度招生人数增加，学生资助体系资金增加、项目拨款金额增加、年初结余结转增加。</w:t>
      </w:r>
    </w:p>
    <w:p w:rsidR="00B40052" w:rsidRDefault="002A2AA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528,506,548.02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77.59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B40052" w:rsidRDefault="002A2AAD" w:rsidP="004728F7">
      <w:pPr>
        <w:autoSpaceDE w:val="0"/>
        <w:autoSpaceDN w:val="0"/>
        <w:adjustRightInd w:val="0"/>
        <w:spacing w:line="580" w:lineRule="exact"/>
        <w:ind w:firstLineChars="500" w:firstLine="15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152,652,476.53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22.41%</w:t>
      </w:r>
      <w:r>
        <w:rPr>
          <w:rFonts w:ascii="Times New Roman" w:eastAsia="仿宋_GB2312" w:hAnsi="Times New Roman" w:cs="仿宋_GB2312" w:hint="eastAsia"/>
          <w:sz w:val="30"/>
          <w:szCs w:val="30"/>
        </w:rPr>
        <w:t>。</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B40052" w:rsidRDefault="002A2AA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508,210,940.81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43,086,066.10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9.26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年度贷款项目收支及教师的横项课题收支增加、双高建设市级财政拨款项目收入增加。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年度招生人数增加，学生资助体系资金增加、项目拨款金额增加、年初结余结转增加。</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rsidR="00B40052" w:rsidRDefault="002A2AA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40052" w:rsidRDefault="002A2AA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508,210,940.81</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74.61%</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43,086,066.10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9.26%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sidR="004728F7">
        <w:rPr>
          <w:rFonts w:ascii="Times New Roman" w:eastAsia="仿宋_GB2312" w:hAnsi="Times New Roman" w:cs="仿宋_GB2312" w:hint="eastAsia"/>
          <w:sz w:val="30"/>
          <w:szCs w:val="30"/>
        </w:rPr>
        <w:t>年度贷款项目</w:t>
      </w:r>
      <w:r>
        <w:rPr>
          <w:rFonts w:ascii="Times New Roman" w:eastAsia="仿宋_GB2312" w:hAnsi="Times New Roman" w:cs="仿宋_GB2312" w:hint="eastAsia"/>
          <w:sz w:val="30"/>
          <w:szCs w:val="30"/>
        </w:rPr>
        <w:t>支</w:t>
      </w:r>
      <w:r w:rsidR="004728F7">
        <w:rPr>
          <w:rFonts w:ascii="Times New Roman" w:eastAsia="仿宋_GB2312" w:hAnsi="Times New Roman" w:cs="仿宋_GB2312" w:hint="eastAsia"/>
          <w:sz w:val="30"/>
          <w:szCs w:val="30"/>
        </w:rPr>
        <w:t>出及教师的横项课题支出</w:t>
      </w:r>
      <w:r>
        <w:rPr>
          <w:rFonts w:ascii="Times New Roman" w:eastAsia="仿宋_GB2312" w:hAnsi="Times New Roman" w:cs="仿宋_GB2312" w:hint="eastAsia"/>
          <w:sz w:val="30"/>
          <w:szCs w:val="30"/>
        </w:rPr>
        <w:t>增加、双高建设市级财政拨款项目支出增加。</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年度招生人数增加，学生资助体系资金增加、项目拨款金额增加、年初结余结转增加。</w:t>
      </w:r>
    </w:p>
    <w:p w:rsidR="00B40052" w:rsidRDefault="002A2AA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40052" w:rsidRDefault="002A2AA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508,210,940.81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459,636,056.13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90.44%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26,035,484.68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5.12%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22,263,400.00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4.38%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276,000.00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0.06%</w:t>
      </w:r>
    </w:p>
    <w:p w:rsidR="00B40052" w:rsidRDefault="002A2AA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483,356,250.00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508,210,940.81</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105.14%</w:t>
      </w:r>
      <w:r>
        <w:rPr>
          <w:rFonts w:ascii="Times New Roman" w:eastAsia="仿宋_GB2312" w:hAnsi="Times New Roman" w:cs="仿宋_GB2312" w:hint="eastAsia"/>
          <w:kern w:val="0"/>
          <w:sz w:val="30"/>
          <w:szCs w:val="30"/>
        </w:rPr>
        <w:t>。其中：</w:t>
      </w:r>
    </w:p>
    <w:p w:rsidR="00B40052" w:rsidRDefault="002A2AA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职业教育</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中等职业教育</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73,392,000.00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74,394,807.74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完成年初预算的</w:t>
      </w:r>
      <w:r>
        <w:rPr>
          <w:rFonts w:ascii="Times New Roman" w:eastAsia="仿宋_GB2312" w:hAnsi="Times New Roman" w:cs="仿宋_GB2312" w:hint="eastAsia"/>
          <w:sz w:val="30"/>
          <w:szCs w:val="30"/>
        </w:rPr>
        <w:lastRenderedPageBreak/>
        <w:t>101.36%,</w:t>
      </w:r>
      <w:r>
        <w:rPr>
          <w:rFonts w:ascii="Times New Roman" w:eastAsia="仿宋_GB2312" w:hAnsi="Times New Roman" w:cs="仿宋_GB2312" w:hint="eastAsia"/>
          <w:sz w:val="30"/>
          <w:szCs w:val="30"/>
        </w:rPr>
        <w:t>决算数大于年初预算数的主要原因：学生扩招及项目预算追加。</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职业教育</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高等职业教育</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372,174,000.00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385,241,248.39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103.51%</w:t>
      </w:r>
      <w:r>
        <w:rPr>
          <w:rFonts w:ascii="Times New Roman" w:eastAsia="仿宋_GB2312" w:hAnsi="Times New Roman" w:cs="仿宋_GB2312" w:hint="eastAsia"/>
          <w:sz w:val="30"/>
          <w:szCs w:val="30"/>
        </w:rPr>
        <w:t>，决算数大于年初预算数的主要原因：年中追加项目拨款、双高建设市级财政拨款项目支出增加</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w:t>
      </w:r>
      <w:r>
        <w:rPr>
          <w:rFonts w:ascii="Times New Roman" w:eastAsia="仿宋_GB2312" w:hAnsi="Times New Roman" w:cs="仿宋_GB2312" w:hint="eastAsia"/>
          <w:sz w:val="30"/>
          <w:szCs w:val="30"/>
        </w:rPr>
        <w:t>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行政单位离退休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2,891,000.00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5,273,484.68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182.41%</w:t>
      </w:r>
      <w:r>
        <w:rPr>
          <w:rFonts w:ascii="Times New Roman" w:eastAsia="仿宋_GB2312" w:hAnsi="Times New Roman" w:cs="仿宋_GB2312" w:hint="eastAsia"/>
          <w:sz w:val="30"/>
          <w:szCs w:val="30"/>
        </w:rPr>
        <w:t>，决算数大于年初预算数的主要原因</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离退休人员抚恤金按照实际发生金额据实报销。</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13,842,000.00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13,842,000.00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w:t>
      </w:r>
      <w:r>
        <w:rPr>
          <w:rFonts w:ascii="Times New Roman" w:eastAsia="仿宋_GB2312" w:hAnsi="Times New Roman" w:cs="仿宋_GB2312" w:hint="eastAsia"/>
          <w:sz w:val="30"/>
          <w:szCs w:val="30"/>
        </w:rPr>
        <w:t>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6,920,000.00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6,920,000.00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t>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160,000.00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992,000.00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620%</w:t>
      </w:r>
      <w:r>
        <w:rPr>
          <w:rFonts w:ascii="Times New Roman" w:eastAsia="仿宋_GB2312" w:hAnsi="Times New Roman" w:cs="仿宋_GB2312" w:hint="eastAsia"/>
          <w:sz w:val="30"/>
          <w:szCs w:val="30"/>
        </w:rPr>
        <w:t>，决算数大于年初预算数的主要原因：离休人员医疗费据实报销。</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7.</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9,184,000.00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16,754,400.00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18</w:t>
      </w:r>
      <w:r>
        <w:rPr>
          <w:rFonts w:ascii="Times New Roman" w:eastAsia="仿宋_GB2312" w:hAnsi="Times New Roman" w:cs="仿宋_GB2312" w:hint="eastAsia"/>
          <w:sz w:val="30"/>
          <w:szCs w:val="30"/>
        </w:rPr>
        <w:t>2.43%</w:t>
      </w:r>
      <w:r>
        <w:rPr>
          <w:rFonts w:ascii="Times New Roman" w:eastAsia="仿宋_GB2312" w:hAnsi="Times New Roman" w:cs="仿宋_GB2312" w:hint="eastAsia"/>
          <w:sz w:val="30"/>
          <w:szCs w:val="30"/>
        </w:rPr>
        <w:t>，决算数大于年初预算数的主要原因是离休人员医疗费据实报销。</w:t>
      </w:r>
      <w:r>
        <w:rPr>
          <w:rFonts w:ascii="Times New Roman" w:eastAsia="仿宋_GB2312" w:hAnsi="Times New Roman" w:cs="仿宋_GB2312" w:hint="eastAsia"/>
          <w:sz w:val="30"/>
          <w:szCs w:val="30"/>
        </w:rPr>
        <w:br/>
        <w:t>8.</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4,517,000.00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4,517,000.00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t>9.</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转制科研机构</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276,000.00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t xml:space="preserve"> </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40052" w:rsidRDefault="002A2AAD">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w:t>
      </w:r>
      <w:r>
        <w:rPr>
          <w:rFonts w:ascii="Times New Roman" w:eastAsia="仿宋_GB2312" w:hAnsi="Times New Roman" w:cs="仿宋_GB2312" w:hint="eastAsia"/>
          <w:sz w:val="30"/>
          <w:szCs w:val="30"/>
        </w:rPr>
        <w:t>集团有限公司</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394,715,093.60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6,743,746.37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年度院校招生人数增加，教学成本增加、人员经费和公用经费增加。</w:t>
      </w:r>
      <w:r>
        <w:rPr>
          <w:rFonts w:ascii="Times New Roman" w:eastAsia="仿宋_GB2312" w:hAnsi="Times New Roman" w:cs="仿宋_GB2312" w:hint="eastAsia"/>
          <w:kern w:val="0"/>
          <w:sz w:val="30"/>
          <w:szCs w:val="30"/>
        </w:rPr>
        <w:t>其中：</w:t>
      </w:r>
    </w:p>
    <w:p w:rsidR="00B40052" w:rsidRDefault="002A2AA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305,244,785.68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基本工资、津贴补贴、绩效工资、机关事业单位基本养老保险缴费、职业年金缴费、职工基本医疗保险缴费、其他社会保障缴费、住房公积金、医疗费、退休费、抚恤金、其他对个人和家庭的补助。</w:t>
      </w:r>
    </w:p>
    <w:p w:rsidR="00B40052" w:rsidRDefault="002A2AA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89,470,307.92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办公费、印刷费、水费、电费、邮电费、取暖费、物业管理费、维修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w:t>
      </w:r>
      <w:r>
        <w:rPr>
          <w:rFonts w:ascii="Times New Roman" w:eastAsia="仿宋_GB2312" w:hAnsi="Times New Roman" w:cs="仿宋_GB2312" w:hint="eastAsia"/>
          <w:sz w:val="30"/>
          <w:szCs w:val="30"/>
        </w:rPr>
        <w:lastRenderedPageBreak/>
        <w:t>专用材料费、专用燃料费、委托业务费、劳务费工会经费、其他商品和服务支出。</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40052" w:rsidRDefault="002A2AAD">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天津渤海轻工投资集团有限公司</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p>
    <w:p w:rsidR="00B40052" w:rsidRDefault="002A2AA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B40052" w:rsidRDefault="002A2AAD">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40052" w:rsidRDefault="002A2AA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B40052" w:rsidRDefault="002A2AA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，且与上年数持平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B40052" w:rsidRDefault="002A2AA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B40052" w:rsidRDefault="002A2AA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，且与上年数持平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因公出国（境）费</w:t>
      </w:r>
      <w:r>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40052" w:rsidRDefault="002A2AA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bookmarkStart w:id="0" w:name="_GoBack"/>
      <w:bookmarkEnd w:id="0"/>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，且与上年数</w:t>
      </w:r>
      <w:r>
        <w:rPr>
          <w:rFonts w:ascii="Times New Roman" w:eastAsia="仿宋_GB2312" w:hAnsi="Times New Roman" w:cs="仿宋_GB2312" w:hint="eastAsia"/>
          <w:kern w:val="0"/>
          <w:sz w:val="30"/>
          <w:szCs w:val="30"/>
        </w:rPr>
        <w:lastRenderedPageBreak/>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公务用车购置及运行维护费</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其中：</w:t>
      </w:r>
    </w:p>
    <w:p w:rsidR="00B40052" w:rsidRDefault="002A2AA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，且与上年数持平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，且与上年数持平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公务用车购置费</w:t>
      </w:r>
      <w:r>
        <w:rPr>
          <w:rFonts w:ascii="Times New Roman" w:eastAsia="仿宋_GB2312" w:hAnsi="Times New Roman" w:cs="仿宋_GB2312" w:hint="eastAsia"/>
          <w:kern w:val="0"/>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40052" w:rsidRDefault="002A2AAD">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，且与上年数持平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公务接待费</w:t>
      </w:r>
      <w:r>
        <w:rPr>
          <w:rFonts w:ascii="Times New Roman" w:eastAsia="仿宋_GB2312" w:hAnsi="Times New Roman" w:cs="仿宋_GB2312" w:hint="eastAsia"/>
          <w:kern w:val="0"/>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40052" w:rsidRDefault="002A2AAD">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天津渤海轻工投资集团有限公司</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B40052" w:rsidRDefault="002A2AA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天津渤海轻工投资集团有限公司</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86,501,769.93</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59,010,329.00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4,599,850.00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22,891,590.93</w:t>
      </w:r>
      <w:r>
        <w:rPr>
          <w:rFonts w:ascii="Times New Roman" w:eastAsia="仿宋_GB2312" w:hAnsi="Times New Roman" w:cs="仿宋_GB2312" w:hint="eastAsia"/>
          <w:color w:val="000000"/>
          <w:kern w:val="0"/>
          <w:sz w:val="30"/>
          <w:szCs w:val="30"/>
        </w:rPr>
        <w:lastRenderedPageBreak/>
        <w:t>元。授予中小企业合同金额</w:t>
      </w:r>
      <w:r>
        <w:rPr>
          <w:rFonts w:ascii="Times New Roman" w:eastAsia="仿宋_GB2312" w:hAnsi="Times New Roman" w:cs="Times New Roman" w:hint="eastAsia"/>
          <w:kern w:val="0"/>
          <w:sz w:val="30"/>
          <w:szCs w:val="30"/>
        </w:rPr>
        <w:t>31,599,380.93</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36.53%</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10,231,025.00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11.83%</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28.83</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35.0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56.7</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B40052" w:rsidRDefault="002A2AA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40052" w:rsidRDefault="002A2AAD">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w:t>
      </w:r>
      <w:r>
        <w:rPr>
          <w:rFonts w:ascii="Times New Roman" w:eastAsia="仿宋_GB2312" w:hAnsi="Times New Roman" w:cs="仿宋_GB2312" w:hint="eastAsia"/>
          <w:color w:val="000000"/>
          <w:kern w:val="0"/>
          <w:sz w:val="30"/>
          <w:szCs w:val="30"/>
        </w:rPr>
        <w:t>天津渤海轻工投资集团有限公司</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cs="Times New Roman" w:hint="eastAsia"/>
          <w:kern w:val="0"/>
          <w:sz w:val="30"/>
          <w:szCs w:val="30"/>
        </w:rPr>
        <w:t>19</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19</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天津轻工职业技术学院国有资产占有使用</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辆车；天津市第一轻工业学校国有资产占有使用</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辆车；天津现代职业技术学院国有资产占有使用</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辆车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43</w:t>
      </w:r>
      <w:r>
        <w:rPr>
          <w:rFonts w:ascii="Times New Roman" w:eastAsia="仿宋_GB2312" w:hAnsi="Times New Roman" w:cs="仿宋_GB2312" w:hint="eastAsia"/>
          <w:kern w:val="0"/>
          <w:sz w:val="30"/>
          <w:szCs w:val="30"/>
        </w:rPr>
        <w:t>台（套）。</w:t>
      </w:r>
    </w:p>
    <w:p w:rsidR="00B40052" w:rsidRDefault="002A2AA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根据预算绩效管理要求，天津渤海轻工投资集团有限公司</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44</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133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336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997.2</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B40052" w:rsidRDefault="002A2AA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天津渤海轻工投资集团有限公司不属于乡、镇、街级单位，不涉及公开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w:t>
      </w:r>
      <w:r>
        <w:rPr>
          <w:rFonts w:ascii="Times New Roman" w:eastAsia="仿宋_GB2312" w:hAnsi="Times New Roman" w:cs="仿宋_GB2312" w:hint="eastAsia"/>
          <w:sz w:val="30"/>
          <w:szCs w:val="30"/>
        </w:rPr>
        <w:lastRenderedPageBreak/>
        <w:t>障、涉农补贴等民生支出情况。</w:t>
      </w:r>
    </w:p>
    <w:p w:rsidR="00B40052" w:rsidRDefault="002A2AAD">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40052" w:rsidRDefault="002A2AA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B40052" w:rsidRDefault="00B40052">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40052" w:rsidRDefault="002A2AA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40052" w:rsidRDefault="002A2AAD">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w:t>
      </w:r>
      <w:r>
        <w:rPr>
          <w:rFonts w:ascii="Times New Roman" w:eastAsia="仿宋_GB2312" w:hAnsi="Times New Roman" w:cs="仿宋_GB2312" w:hint="eastAsia"/>
          <w:kern w:val="0"/>
          <w:sz w:val="30"/>
          <w:szCs w:val="30"/>
        </w:rPr>
        <w:t>出（含车辆购置税）及燃料费、维修费、过桥过路费、保险费、安全奖励费用等支出；公务接待费反映单位按规定开支的各类公务接待（含外宾接待）支出。</w:t>
      </w:r>
    </w:p>
    <w:sectPr w:rsidR="00B400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AD" w:rsidRDefault="002A2AAD" w:rsidP="004728F7">
      <w:r>
        <w:separator/>
      </w:r>
    </w:p>
  </w:endnote>
  <w:endnote w:type="continuationSeparator" w:id="0">
    <w:p w:rsidR="002A2AAD" w:rsidRDefault="002A2AAD" w:rsidP="0047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AD" w:rsidRDefault="002A2AAD" w:rsidP="004728F7">
      <w:r>
        <w:separator/>
      </w:r>
    </w:p>
  </w:footnote>
  <w:footnote w:type="continuationSeparator" w:id="0">
    <w:p w:rsidR="002A2AAD" w:rsidRDefault="002A2AAD" w:rsidP="0047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2AAD"/>
    <w:rsid w:val="002A4997"/>
    <w:rsid w:val="002E6086"/>
    <w:rsid w:val="00302490"/>
    <w:rsid w:val="003227B2"/>
    <w:rsid w:val="003536BE"/>
    <w:rsid w:val="003B25FB"/>
    <w:rsid w:val="004728F7"/>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40052"/>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91F3544"/>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4A071C8"/>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535BF"/>
  <w15:docId w15:val="{213EA917-9123-48FF-B0F8-A47348F2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0"/>
    <w:autoRedefine/>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autoRedefine/>
    <w:uiPriority w:val="99"/>
    <w:qFormat/>
    <w:rPr>
      <w:rFonts w:ascii="方正小标宋简体" w:eastAsia="方正小标宋简体"/>
      <w:kern w:val="0"/>
      <w:sz w:val="24"/>
      <w:szCs w:val="24"/>
    </w:rPr>
  </w:style>
  <w:style w:type="character" w:customStyle="1" w:styleId="20">
    <w:name w:val="标题 2 字符"/>
    <w:basedOn w:val="a0"/>
    <w:link w:val="2"/>
    <w:autoRedefine/>
    <w:uiPriority w:val="99"/>
    <w:qFormat/>
    <w:rPr>
      <w:rFonts w:ascii="方正小标宋简体" w:eastAsia="方正小标宋简体"/>
      <w:kern w:val="0"/>
      <w:sz w:val="24"/>
      <w:szCs w:val="24"/>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张婷婷</cp:lastModifiedBy>
  <cp:revision>61</cp:revision>
  <dcterms:created xsi:type="dcterms:W3CDTF">2023-08-11T08:11:00Z</dcterms:created>
  <dcterms:modified xsi:type="dcterms:W3CDTF">2024-08-21T08:01:00Z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AE07EA7446394867880A8D51A2CB8CC9_13</vt:lpwstr>
  </property>
</Properties>
</file>